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5179" w14:textId="69FCBF5E" w:rsidR="00F230DD" w:rsidRPr="000E6A7E" w:rsidRDefault="000E6A7E">
      <w:pPr>
        <w:pStyle w:val="Name"/>
        <w:rPr>
          <w:sz w:val="44"/>
          <w:szCs w:val="44"/>
        </w:rPr>
      </w:pPr>
      <w:r w:rsidRPr="000E6A7E">
        <w:rPr>
          <w:sz w:val="44"/>
          <w:szCs w:val="44"/>
        </w:rPr>
        <w:t>Jefferson E. Vilchez olivares</w:t>
      </w:r>
    </w:p>
    <w:p w14:paraId="4DB38139" w14:textId="7D66E7D5" w:rsidR="00F230DD" w:rsidRDefault="000E6A7E">
      <w:pPr>
        <w:pStyle w:val="ContactInfo"/>
      </w:pPr>
      <w:r>
        <w:t>313-315 Av. Alto Huancaray</w:t>
      </w:r>
      <w:r w:rsidR="007D5A74">
        <w:t>,</w:t>
      </w:r>
      <w:r>
        <w:t xml:space="preserve"> </w:t>
      </w:r>
      <w:r w:rsidR="007D5A74">
        <w:t>Lima-Peru</w:t>
      </w:r>
      <w:r>
        <w:t xml:space="preserve">/ (51) 984241186/ </w:t>
      </w:r>
      <w:hyperlink r:id="rId8" w:history="1">
        <w:r w:rsidR="008A2EF7" w:rsidRPr="00763635">
          <w:rPr>
            <w:rStyle w:val="Hipervnculo"/>
          </w:rPr>
          <w:t>20140081@lamolina.edu.pe</w:t>
        </w:r>
      </w:hyperlink>
    </w:p>
    <w:p w14:paraId="3E2E3FF3" w14:textId="77777777" w:rsidR="008A2EF7" w:rsidRDefault="008A2EF7">
      <w:pPr>
        <w:pStyle w:val="ContactInfo"/>
      </w:pPr>
    </w:p>
    <w:p w14:paraId="7EBEE04B" w14:textId="77777777" w:rsidR="008A2EF7" w:rsidRDefault="008A2EF7">
      <w:pPr>
        <w:pStyle w:val="ContactInfo"/>
      </w:pPr>
    </w:p>
    <w:p w14:paraId="7A71419E" w14:textId="32198E85" w:rsidR="00F230DD" w:rsidRDefault="00BC1C1A">
      <w:pPr>
        <w:pStyle w:val="Ttulo1"/>
      </w:pPr>
      <w:r>
        <w:t>PERFIL</w:t>
      </w:r>
    </w:p>
    <w:p w14:paraId="64191DCB" w14:textId="2E343436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 xml:space="preserve">Creativo, talentoso, entusiasta, innovador, </w:t>
      </w:r>
      <w:r w:rsidR="00E269D7">
        <w:rPr>
          <w:rFonts w:ascii="Tahoma" w:eastAsia="Tahoma" w:hAnsi="Tahoma" w:cs="Tahoma"/>
          <w:color w:val="7F7F7F"/>
          <w:sz w:val="19"/>
          <w:szCs w:val="19"/>
        </w:rPr>
        <w:t>estudiante de la maestria de agronegocios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de la Universidad Nacional Agraria La Molina</w:t>
      </w:r>
      <w:r w:rsidR="00E269D7">
        <w:rPr>
          <w:rFonts w:ascii="Tahoma" w:eastAsia="Tahoma" w:hAnsi="Tahoma" w:cs="Tahoma"/>
          <w:color w:val="7F7F7F"/>
          <w:sz w:val="19"/>
          <w:szCs w:val="19"/>
        </w:rPr>
        <w:t>, egresado de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facultad  de Ciencias Agrónomas</w:t>
      </w:r>
      <w:r w:rsidR="00E269D7">
        <w:rPr>
          <w:rFonts w:ascii="Tahoma" w:eastAsia="Tahoma" w:hAnsi="Tahoma" w:cs="Tahoma"/>
          <w:color w:val="7F7F7F"/>
          <w:sz w:val="19"/>
          <w:szCs w:val="19"/>
        </w:rPr>
        <w:t xml:space="preserve"> de la UNALM,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con un año de experiencia en fitopatología de plantas, </w:t>
      </w:r>
      <w:r w:rsidR="00813983">
        <w:rPr>
          <w:rFonts w:ascii="Tahoma" w:eastAsia="Tahoma" w:hAnsi="Tahoma" w:cs="Tahoma"/>
          <w:color w:val="7F7F7F"/>
          <w:sz w:val="19"/>
          <w:szCs w:val="19"/>
        </w:rPr>
        <w:t>Participe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en el programa de Applied agroecology del instituto perucano con MESA PROGRAM, financiado por la embajada de los EEUU de Lima, Perú. Tengo conocimientos de</w:t>
      </w:r>
      <w:r w:rsidR="00AE2758">
        <w:rPr>
          <w:rFonts w:ascii="Tahoma" w:eastAsia="Tahoma" w:hAnsi="Tahoma" w:cs="Tahoma"/>
          <w:color w:val="7F7F7F"/>
          <w:sz w:val="19"/>
          <w:szCs w:val="19"/>
        </w:rPr>
        <w:t xml:space="preserve"> los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idioma</w:t>
      </w:r>
      <w:r w:rsidR="00AE2758">
        <w:rPr>
          <w:rFonts w:ascii="Tahoma" w:eastAsia="Tahoma" w:hAnsi="Tahoma" w:cs="Tahoma"/>
          <w:color w:val="7F7F7F"/>
          <w:sz w:val="19"/>
          <w:szCs w:val="19"/>
        </w:rPr>
        <w:t>s: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 quechua, inglés y portugués.</w:t>
      </w:r>
    </w:p>
    <w:p w14:paraId="27DFC9C3" w14:textId="3B3F83D1" w:rsidR="00F230DD" w:rsidRPr="000B4DB6" w:rsidRDefault="00BC1C1A" w:rsidP="00D11DE7">
      <w:pPr>
        <w:pStyle w:val="Ttulo1"/>
        <w:pBdr>
          <w:top w:val="single" w:sz="24" w:space="4" w:color="262626" w:themeColor="text1" w:themeTint="D9"/>
        </w:pBdr>
        <w:rPr>
          <w:rFonts w:asciiTheme="minorHAnsi" w:eastAsiaTheme="minorEastAsia" w:hAnsiTheme="minorHAnsi" w:cstheme="minorBidi"/>
          <w:color w:val="auto"/>
          <w:szCs w:val="24"/>
        </w:rPr>
      </w:pPr>
      <w:r>
        <w:t>ExperiencIA</w:t>
      </w:r>
    </w:p>
    <w:p w14:paraId="5E8697D3" w14:textId="1759CDA9" w:rsidR="00E269D7" w:rsidRDefault="00E269D7" w:rsidP="00E26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Tahoma" w:eastAsia="Tahoma" w:hAnsi="Tahoma" w:cs="Tahoma"/>
          <w:b/>
          <w:color w:val="7F7F7F"/>
          <w:sz w:val="19"/>
          <w:szCs w:val="19"/>
        </w:rPr>
      </w:pPr>
      <w:r>
        <w:rPr>
          <w:rFonts w:ascii="Tahoma" w:eastAsia="Tahoma" w:hAnsi="Tahoma" w:cs="Tahoma"/>
          <w:b/>
          <w:color w:val="7F7F7F"/>
          <w:sz w:val="19"/>
          <w:szCs w:val="19"/>
        </w:rPr>
        <w:t>HUASCARAN FOOD</w:t>
      </w:r>
    </w:p>
    <w:p w14:paraId="6C7B64CC" w14:textId="6E299A77" w:rsidR="00E269D7" w:rsidRDefault="00E269D7" w:rsidP="00E26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>Jefe de proyectos (Agosto 2021-actualidad).</w:t>
      </w:r>
    </w:p>
    <w:p w14:paraId="7F8F5A41" w14:textId="4934DEB6" w:rsidR="00E269D7" w:rsidRDefault="00E269D7" w:rsidP="00E26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>Viabilidad de proyectos de banano organico cavendich en mala, cañete, lima.</w:t>
      </w:r>
    </w:p>
    <w:p w14:paraId="0C50CFB3" w14:textId="7D4F5E2C" w:rsidR="00345FF9" w:rsidRPr="00E269D7" w:rsidRDefault="00345FF9" w:rsidP="00E26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t>Manufactura Agricola.</w:t>
      </w:r>
    </w:p>
    <w:p w14:paraId="75428652" w14:textId="5CB3E807" w:rsidR="00813983" w:rsidRDefault="00E269D7" w:rsidP="00E269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Tahoma" w:eastAsia="Tahoma" w:hAnsi="Tahoma" w:cs="Tahoma"/>
          <w:b/>
          <w:color w:val="7F7F7F"/>
          <w:sz w:val="19"/>
          <w:szCs w:val="19"/>
        </w:rPr>
      </w:pPr>
      <w:r>
        <w:rPr>
          <w:rFonts w:ascii="Tahoma" w:eastAsia="Tahoma" w:hAnsi="Tahoma" w:cs="Tahoma"/>
          <w:b/>
          <w:color w:val="7F7F7F"/>
          <w:sz w:val="19"/>
          <w:szCs w:val="19"/>
        </w:rPr>
        <w:t>CANADIAN MODEL FOREST NETWORK</w:t>
      </w:r>
    </w:p>
    <w:p w14:paraId="4D354951" w14:textId="145CA9BC" w:rsidR="00813983" w:rsidRDefault="00813983" w:rsidP="00813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>Investigador adjunto (</w:t>
      </w:r>
      <w:r w:rsidR="00E269D7">
        <w:rPr>
          <w:rFonts w:ascii="Tahoma" w:eastAsia="Tahoma" w:hAnsi="Tahoma" w:cs="Tahoma"/>
          <w:color w:val="7F7F7F"/>
          <w:sz w:val="19"/>
          <w:szCs w:val="19"/>
        </w:rPr>
        <w:t>Enero 2021-</w:t>
      </w:r>
      <w:r w:rsidR="002C7ECA">
        <w:rPr>
          <w:rFonts w:ascii="Tahoma" w:eastAsia="Tahoma" w:hAnsi="Tahoma" w:cs="Tahoma"/>
          <w:color w:val="7F7F7F"/>
          <w:sz w:val="19"/>
          <w:szCs w:val="19"/>
        </w:rPr>
        <w:t>junio</w:t>
      </w:r>
      <w:r w:rsidR="00E269D7">
        <w:rPr>
          <w:rFonts w:ascii="Tahoma" w:eastAsia="Tahoma" w:hAnsi="Tahoma" w:cs="Tahoma"/>
          <w:color w:val="7F7F7F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7F7F7F"/>
          <w:sz w:val="19"/>
          <w:szCs w:val="19"/>
        </w:rPr>
        <w:t>2021).</w:t>
      </w:r>
    </w:p>
    <w:p w14:paraId="54ACB67E" w14:textId="7BA11491" w:rsidR="00813983" w:rsidRDefault="00813983" w:rsidP="00813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>Reconocer la flora arvense asoviada al ciultivo de kion en pichanaki.</w:t>
      </w:r>
    </w:p>
    <w:p w14:paraId="0EC12384" w14:textId="000CFD2C" w:rsidR="00813983" w:rsidRPr="00B22025" w:rsidRDefault="00813983" w:rsidP="00813983"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Pr="00B22025">
        <w:t>Inventariar la composición florística de arvenses en el cultivo de kion en Pichanaki, Chanchamayo.</w:t>
      </w:r>
    </w:p>
    <w:p w14:paraId="70F15596" w14:textId="0D592A6C" w:rsidR="00813983" w:rsidRDefault="00813983" w:rsidP="00813983"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Pr="00B22025">
        <w:t>Determinar la temporalidad del ciclo fenológico de las principales arvenses en el cultivo de kion en Pichanaki, Chanchamayo.</w:t>
      </w:r>
    </w:p>
    <w:p w14:paraId="5A762A46" w14:textId="2DFBFAF7" w:rsidR="00813983" w:rsidRDefault="00813983" w:rsidP="00813983"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Pr="00B22025">
        <w:t>Determinar la presencia de plagas y enfermedades en las principales arvenses asociadas al cultivo de kion en Pichanaki, Chanchamayo.</w:t>
      </w:r>
    </w:p>
    <w:p w14:paraId="36D7B245" w14:textId="77777777" w:rsidR="00813983" w:rsidRPr="00813983" w:rsidRDefault="00813983" w:rsidP="00813983"/>
    <w:p w14:paraId="736D49DC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rFonts w:ascii="Tahoma" w:eastAsia="Tahoma" w:hAnsi="Tahoma" w:cs="Tahoma"/>
          <w:b/>
          <w:color w:val="7F7F7F"/>
          <w:sz w:val="19"/>
          <w:szCs w:val="19"/>
        </w:rPr>
      </w:pPr>
      <w:r>
        <w:rPr>
          <w:rFonts w:ascii="Tahoma" w:eastAsia="Tahoma" w:hAnsi="Tahoma" w:cs="Tahoma"/>
          <w:b/>
          <w:color w:val="7F7F7F"/>
          <w:sz w:val="19"/>
          <w:szCs w:val="19"/>
        </w:rPr>
        <w:lastRenderedPageBreak/>
        <w:t xml:space="preserve">Instituto de Biotecnología e Investigación (Lima-Perú) </w:t>
      </w:r>
    </w:p>
    <w:p w14:paraId="42B76825" w14:textId="1D1AE2EE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>Prácticas Pre-Profesional (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 xml:space="preserve">Enero </w:t>
      </w:r>
      <w:r>
        <w:rPr>
          <w:rFonts w:ascii="Tahoma" w:eastAsia="Tahoma" w:hAnsi="Tahoma" w:cs="Tahoma"/>
          <w:color w:val="7F7F7F"/>
          <w:sz w:val="19"/>
          <w:szCs w:val="19"/>
        </w:rPr>
        <w:t>2020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>-Abril 2020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) </w:t>
      </w:r>
    </w:p>
    <w:p w14:paraId="11232A96" w14:textId="57435725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 xml:space="preserve">Investigación en Micropropagación en el Laboratorio </w:t>
      </w:r>
    </w:p>
    <w:p w14:paraId="4778ACC3" w14:textId="4D730C32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right="1555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Propagación in-vitro de cultivos de arándano, papa, orquídeas, frambuesa, ajo y pitahaya </w:t>
      </w:r>
    </w:p>
    <w:p w14:paraId="0147E3F2" w14:textId="27C8B206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right="1555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Identificación de cultivares, manteniendo y producción. </w:t>
      </w:r>
    </w:p>
    <w:p w14:paraId="71B25E57" w14:textId="59624D3F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right="1555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Desinfección de los materiales del laboratorio utilizando autoclave. </w:t>
      </w:r>
    </w:p>
    <w:p w14:paraId="62DA16B4" w14:textId="2B3A4527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Preparación de cultivos de media para el sembrío de explantes. </w:t>
      </w:r>
    </w:p>
    <w:p w14:paraId="63A5F532" w14:textId="757BA5C8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Responsible en la planificación, preparación, y organización de los ensayos. </w:t>
      </w:r>
    </w:p>
    <w:p w14:paraId="70BC5807" w14:textId="51A7A744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 xml:space="preserve">Investigación en el invernadero  </w:t>
      </w:r>
    </w:p>
    <w:p w14:paraId="0489EEB8" w14:textId="2393E7D6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355"/>
        <w:jc w:val="both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Instalación de los plantines en el invernadero, controlando las condiciones ambientales como humedad relativa, temperatura y manejo del riego. </w:t>
      </w:r>
    </w:p>
    <w:p w14:paraId="3A97CB28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rPr>
          <w:rFonts w:ascii="Tahoma" w:eastAsia="Tahoma" w:hAnsi="Tahoma" w:cs="Tahoma"/>
          <w:b/>
          <w:color w:val="7F7F7F"/>
          <w:sz w:val="19"/>
          <w:szCs w:val="19"/>
        </w:rPr>
      </w:pPr>
      <w:r>
        <w:rPr>
          <w:rFonts w:ascii="Tahoma" w:eastAsia="Tahoma" w:hAnsi="Tahoma" w:cs="Tahoma"/>
          <w:b/>
          <w:color w:val="7F7F7F"/>
          <w:sz w:val="19"/>
          <w:szCs w:val="19"/>
        </w:rPr>
        <w:t xml:space="preserve">Instituto Nacional de Investigación Agraria (INIA) </w:t>
      </w:r>
    </w:p>
    <w:p w14:paraId="6C598DDA" w14:textId="0E1A5840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 xml:space="preserve">Practicante 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>(</w:t>
      </w:r>
      <w:r>
        <w:rPr>
          <w:rFonts w:ascii="Tahoma" w:eastAsia="Tahoma" w:hAnsi="Tahoma" w:cs="Tahoma"/>
          <w:color w:val="7F7F7F"/>
          <w:sz w:val="19"/>
          <w:szCs w:val="19"/>
        </w:rPr>
        <w:t>Enero 2020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>)</w:t>
      </w:r>
    </w:p>
    <w:p w14:paraId="42A3D99C" w14:textId="3DBEA94B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 </w:t>
      </w:r>
      <w:r w:rsidR="00345FF9"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>Laboratorio de Climatología en el Proyecto de papa en condiciones de sequía  Evaluación y toma de datos de peso fresco y peso seco de flores, hojas, raíces de los cultivos.</w:t>
      </w:r>
    </w:p>
    <w:p w14:paraId="22E0016D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7F7F7F"/>
          <w:sz w:val="19"/>
          <w:szCs w:val="19"/>
        </w:rPr>
      </w:pPr>
      <w:r>
        <w:rPr>
          <w:rFonts w:ascii="Tahoma" w:eastAsia="Tahoma" w:hAnsi="Tahoma" w:cs="Tahoma"/>
          <w:b/>
          <w:color w:val="7F7F7F"/>
          <w:sz w:val="19"/>
          <w:szCs w:val="19"/>
        </w:rPr>
        <w:t xml:space="preserve">Laboratorio de Fitopatología (Lima-Perú) </w:t>
      </w:r>
    </w:p>
    <w:p w14:paraId="493BAE49" w14:textId="163F15F1" w:rsidR="00BC1C1A" w:rsidRDefault="00BC1C1A" w:rsidP="00345F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>Asistente</w:t>
      </w:r>
      <w:r w:rsidR="00345FF9" w:rsidRPr="00345FF9">
        <w:rPr>
          <w:rFonts w:ascii="Tahoma" w:eastAsia="Tahoma" w:hAnsi="Tahoma" w:cs="Tahoma"/>
          <w:color w:val="7F7F7F"/>
          <w:sz w:val="19"/>
          <w:szCs w:val="19"/>
        </w:rPr>
        <w:t xml:space="preserve"> 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>de investigación de patógenos. (</w:t>
      </w:r>
      <w:r>
        <w:rPr>
          <w:rFonts w:ascii="Tahoma" w:eastAsia="Tahoma" w:hAnsi="Tahoma" w:cs="Tahoma"/>
          <w:color w:val="7F7F7F"/>
          <w:sz w:val="19"/>
          <w:szCs w:val="19"/>
        </w:rPr>
        <w:t>2019-2020</w:t>
      </w:r>
      <w:r w:rsidR="00345FF9">
        <w:rPr>
          <w:rFonts w:ascii="Tahoma" w:eastAsia="Tahoma" w:hAnsi="Tahoma" w:cs="Tahoma"/>
          <w:color w:val="7F7F7F"/>
          <w:sz w:val="19"/>
          <w:szCs w:val="19"/>
        </w:rPr>
        <w:t>)</w:t>
      </w:r>
    </w:p>
    <w:p w14:paraId="327893D0" w14:textId="4E0C3792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Identificación de patógenos en el campo y toma de datos de la incidencia. </w:t>
      </w:r>
    </w:p>
    <w:p w14:paraId="55411AA2" w14:textId="45BCC816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Separación del patógeno de la planta.  </w:t>
      </w:r>
    </w:p>
    <w:p w14:paraId="5B408446" w14:textId="68DCC18E" w:rsidR="00BC1C1A" w:rsidRDefault="00813983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 w:rsidR="00BC1C1A">
        <w:rPr>
          <w:rFonts w:ascii="Tahoma" w:eastAsia="Tahoma" w:hAnsi="Tahoma" w:cs="Tahoma"/>
          <w:color w:val="7F7F7F"/>
          <w:sz w:val="19"/>
          <w:szCs w:val="19"/>
        </w:rPr>
        <w:t xml:space="preserve">Identificación del patógeno mediante su estructura utilizando microscopio. </w:t>
      </w:r>
    </w:p>
    <w:p w14:paraId="77FA6349" w14:textId="5BBFEDA4" w:rsidR="00345FF9" w:rsidRDefault="00345FF9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</w:p>
    <w:p w14:paraId="6D0C8BCF" w14:textId="0D396F55" w:rsidR="00345FF9" w:rsidRDefault="00345FF9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</w:p>
    <w:p w14:paraId="6F70CCDE" w14:textId="77777777" w:rsidR="00345FF9" w:rsidRDefault="00345FF9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</w:p>
    <w:p w14:paraId="66F881EE" w14:textId="04B7A31D" w:rsidR="00F230DD" w:rsidRDefault="00BC1C1A">
      <w:pPr>
        <w:pStyle w:val="Ttulo1"/>
      </w:pPr>
      <w:r>
        <w:lastRenderedPageBreak/>
        <w:t>EDUCACIÓN</w:t>
      </w:r>
    </w:p>
    <w:p w14:paraId="6643D081" w14:textId="7AFDAB2E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>Graduado de la Universidad Nacional Agraria La Molina facu</w:t>
      </w:r>
      <w:r w:rsidR="00AE2758">
        <w:rPr>
          <w:rFonts w:ascii="Tahoma" w:eastAsia="Tahoma" w:hAnsi="Tahoma" w:cs="Tahoma"/>
          <w:color w:val="7F7F7F"/>
          <w:sz w:val="19"/>
          <w:szCs w:val="19"/>
        </w:rPr>
        <w:t>ltad de Ciencia Agrónoma.</w:t>
      </w:r>
    </w:p>
    <w:p w14:paraId="52A2D721" w14:textId="110DD38D" w:rsidR="00BC1C1A" w:rsidRDefault="00BC1C1A" w:rsidP="00BC1C1A">
      <w:pPr>
        <w:widowControl w:val="0"/>
        <w:spacing w:before="281" w:line="360" w:lineRule="auto"/>
        <w:ind w:right="6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>•</w:t>
      </w:r>
      <w:r w:rsidR="00AE2758"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Beca en agroecologia aplicada de 7 meses. Instituto perucano 2020. impulsado por MESA (Multinational </w:t>
      </w:r>
      <w:r w:rsidR="001D3D8C">
        <w:rPr>
          <w:rFonts w:ascii="Tahoma" w:eastAsia="Tahoma" w:hAnsi="Tahoma" w:cs="Tahoma"/>
          <w:color w:val="7F7F7F"/>
          <w:sz w:val="19"/>
          <w:szCs w:val="19"/>
        </w:rPr>
        <w:t xml:space="preserve">    </w:t>
      </w:r>
      <w:r>
        <w:rPr>
          <w:rFonts w:ascii="Tahoma" w:eastAsia="Tahoma" w:hAnsi="Tahoma" w:cs="Tahoma"/>
          <w:color w:val="7F7F7F"/>
          <w:sz w:val="19"/>
          <w:szCs w:val="19"/>
        </w:rPr>
        <w:t>Exchange for Sustainable Agriculture), y financiado por la embajada de los estados unidos en Lima, Perú.</w:t>
      </w:r>
    </w:p>
    <w:p w14:paraId="4BFB8DED" w14:textId="4070FA32" w:rsidR="00F230DD" w:rsidRDefault="00E3390F">
      <w:pPr>
        <w:pStyle w:val="Ttulo1"/>
      </w:pPr>
      <w:r>
        <w:t>Certifica</w:t>
      </w:r>
      <w:r w:rsidR="000F1111">
        <w:t>CIÓN</w:t>
      </w:r>
    </w:p>
    <w:p w14:paraId="0E5D688C" w14:textId="4E5C60C4" w:rsidR="00AE2758" w:rsidRDefault="00BC1C1A" w:rsidP="00AE2758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0" w:firstLine="0"/>
        <w:rPr>
          <w:rFonts w:ascii="Tahoma" w:eastAsia="Tahoma" w:hAnsi="Tahoma" w:cs="Tahoma"/>
          <w:color w:val="7F7F7F"/>
          <w:sz w:val="19"/>
          <w:szCs w:val="19"/>
        </w:rPr>
      </w:pPr>
      <w:r w:rsidRPr="00BC1C1A">
        <w:rPr>
          <w:rFonts w:ascii="Tahoma" w:eastAsia="Tahoma" w:hAnsi="Tahoma" w:cs="Tahoma"/>
          <w:color w:val="7F7F7F"/>
          <w:sz w:val="19"/>
          <w:szCs w:val="19"/>
        </w:rPr>
        <w:t xml:space="preserve">Certificado de la Conferencia de la Palta cultivar </w:t>
      </w:r>
      <w:r w:rsidR="00AE2758">
        <w:rPr>
          <w:rFonts w:ascii="Tahoma" w:eastAsia="Tahoma" w:hAnsi="Tahoma" w:cs="Tahoma"/>
          <w:color w:val="7F7F7F"/>
          <w:sz w:val="19"/>
          <w:szCs w:val="19"/>
        </w:rPr>
        <w:t xml:space="preserve">Hass en condiciones de sequía. </w:t>
      </w:r>
    </w:p>
    <w:p w14:paraId="48F92734" w14:textId="591B837D" w:rsidR="00AE2758" w:rsidRPr="00AE2758" w:rsidRDefault="00AE2758" w:rsidP="00AE2758">
      <w:pPr>
        <w:pStyle w:val="Prrafodelista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0" w:firstLine="0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Tahoma" w:eastAsia="Tahoma" w:hAnsi="Tahoma" w:cs="Tahoma"/>
          <w:color w:val="7F7F7F"/>
          <w:sz w:val="19"/>
          <w:szCs w:val="19"/>
        </w:rPr>
        <w:t>Curso de gestión ambiental bajo la norma 14001 “Gestión integral HSEQ”</w:t>
      </w:r>
    </w:p>
    <w:p w14:paraId="61CDFAC5" w14:textId="28380F4E" w:rsidR="00712C5A" w:rsidRDefault="00712C5A" w:rsidP="00712C5A">
      <w:pPr>
        <w:pStyle w:val="Ttulo1"/>
      </w:pPr>
      <w:r>
        <w:t xml:space="preserve"> </w:t>
      </w:r>
      <w:r w:rsidR="000007A8">
        <w:t xml:space="preserve"> </w:t>
      </w:r>
      <w:r w:rsidR="00BC1C1A">
        <w:t>IDIOMAS</w:t>
      </w:r>
    </w:p>
    <w:p w14:paraId="09AFEBCC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Inglés Intermedio </w:t>
      </w:r>
    </w:p>
    <w:p w14:paraId="3CF59706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Portugues avanzado </w:t>
      </w:r>
    </w:p>
    <w:p w14:paraId="34AF9793" w14:textId="77777777" w:rsidR="00BC1C1A" w:rsidRDefault="00BC1C1A" w:rsidP="00BC1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rPr>
          <w:rFonts w:ascii="Tahoma" w:eastAsia="Tahoma" w:hAnsi="Tahoma" w:cs="Tahoma"/>
          <w:color w:val="7F7F7F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7F7F7F"/>
          <w:sz w:val="19"/>
          <w:szCs w:val="19"/>
        </w:rPr>
        <w:t xml:space="preserve">• </w:t>
      </w:r>
      <w:r>
        <w:rPr>
          <w:rFonts w:ascii="Tahoma" w:eastAsia="Tahoma" w:hAnsi="Tahoma" w:cs="Tahoma"/>
          <w:color w:val="7F7F7F"/>
          <w:sz w:val="19"/>
          <w:szCs w:val="19"/>
        </w:rPr>
        <w:t xml:space="preserve">Quechua Intermedio </w:t>
      </w:r>
    </w:p>
    <w:p w14:paraId="1207A6CF" w14:textId="0D8319B8" w:rsidR="00F230DD" w:rsidRDefault="00BC1C1A" w:rsidP="0039455C">
      <w:pPr>
        <w:pStyle w:val="Ttulo1"/>
      </w:pPr>
      <w:r>
        <w:t>Hobbies</w:t>
      </w:r>
    </w:p>
    <w:p w14:paraId="4A9716DC" w14:textId="73987F45" w:rsidR="000B4DB6" w:rsidRDefault="00BC1C1A" w:rsidP="000B4DB6">
      <w:pPr>
        <w:pStyle w:val="Listaconvietas"/>
        <w:numPr>
          <w:ilvl w:val="0"/>
          <w:numId w:val="0"/>
        </w:numPr>
        <w:ind w:left="216" w:hanging="216"/>
      </w:pPr>
      <w:r>
        <w:t>Me gusta cantar, escuchar música y leer.</w:t>
      </w:r>
    </w:p>
    <w:p w14:paraId="2154D096" w14:textId="77777777" w:rsidR="000B4DB6" w:rsidRDefault="000B4DB6" w:rsidP="000B4DB6">
      <w:pPr>
        <w:pStyle w:val="Listaconvietas"/>
        <w:numPr>
          <w:ilvl w:val="0"/>
          <w:numId w:val="0"/>
        </w:numPr>
        <w:ind w:left="216" w:hanging="216"/>
      </w:pPr>
    </w:p>
    <w:sectPr w:rsidR="000B4D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57B7" w14:textId="77777777" w:rsidR="00DB4C02" w:rsidRDefault="00DB4C02">
      <w:r>
        <w:separator/>
      </w:r>
    </w:p>
  </w:endnote>
  <w:endnote w:type="continuationSeparator" w:id="0">
    <w:p w14:paraId="2421F59F" w14:textId="77777777" w:rsidR="00DB4C02" w:rsidRDefault="00D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B9B2" w14:textId="77777777" w:rsidR="00F230DD" w:rsidRDefault="005F58C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81398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5BF" w14:textId="2AD0E59E" w:rsidR="001D3D8C" w:rsidRDefault="001D3D8C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06B" w14:textId="77777777" w:rsidR="00DB4C02" w:rsidRDefault="00DB4C02">
      <w:r>
        <w:separator/>
      </w:r>
    </w:p>
  </w:footnote>
  <w:footnote w:type="continuationSeparator" w:id="0">
    <w:p w14:paraId="1D88ECEA" w14:textId="77777777" w:rsidR="00DB4C02" w:rsidRDefault="00DB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25B7" w14:textId="77777777" w:rsidR="00F230DD" w:rsidRDefault="005F58C3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B13549" wp14:editId="4A55F24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5302553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0B21" w14:textId="77777777" w:rsidR="00F230DD" w:rsidRDefault="005F58C3"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3BA56B" wp14:editId="3145D2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26078" w14:textId="77777777" w:rsidR="00F230DD" w:rsidRDefault="00F230D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E3BA56B" id="Group 4" o:spid="_x0000_s1026" alt="Título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1FLS0ScFAACfDwAADgAA&#10;AAAAAAAAAAAAAAAuAgAAZHJzL2Uyb0RvYy54bWxQSwECLQAUAAYACAAAACEAJ6FSyNoAAAAGAQAA&#10;DwAAAAAAAAAAAAAAAACBBwAAZHJzL2Rvd25yZXYueG1sUEsFBgAAAAAEAAQA8wAAAIgIAAAAAA=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EB26078" w14:textId="77777777" w:rsidR="00F230DD" w:rsidRDefault="00F230D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8428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486"/>
    <w:multiLevelType w:val="hybridMultilevel"/>
    <w:tmpl w:val="3CAABE48"/>
    <w:lvl w:ilvl="0" w:tplc="280A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3" w15:restartNumberingAfterBreak="0">
    <w:nsid w:val="62592B4B"/>
    <w:multiLevelType w:val="hybridMultilevel"/>
    <w:tmpl w:val="714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D3E31"/>
    <w:multiLevelType w:val="hybridMultilevel"/>
    <w:tmpl w:val="070EF2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E"/>
    <w:rsid w:val="000007A8"/>
    <w:rsid w:val="00045FC8"/>
    <w:rsid w:val="00080C65"/>
    <w:rsid w:val="000852F1"/>
    <w:rsid w:val="000B165A"/>
    <w:rsid w:val="000B4DB6"/>
    <w:rsid w:val="000E6A7E"/>
    <w:rsid w:val="000F1111"/>
    <w:rsid w:val="00170D8D"/>
    <w:rsid w:val="0018046C"/>
    <w:rsid w:val="001844C2"/>
    <w:rsid w:val="001A0A37"/>
    <w:rsid w:val="001A251B"/>
    <w:rsid w:val="001A5718"/>
    <w:rsid w:val="001B7EED"/>
    <w:rsid w:val="001D0506"/>
    <w:rsid w:val="001D3D8C"/>
    <w:rsid w:val="00231AD5"/>
    <w:rsid w:val="002543DF"/>
    <w:rsid w:val="00260897"/>
    <w:rsid w:val="002622F5"/>
    <w:rsid w:val="00280813"/>
    <w:rsid w:val="00281494"/>
    <w:rsid w:val="002850F8"/>
    <w:rsid w:val="002A7AD3"/>
    <w:rsid w:val="002B6206"/>
    <w:rsid w:val="002C7ECA"/>
    <w:rsid w:val="002E0E00"/>
    <w:rsid w:val="0030726C"/>
    <w:rsid w:val="00314D16"/>
    <w:rsid w:val="00325417"/>
    <w:rsid w:val="00342455"/>
    <w:rsid w:val="00345FF9"/>
    <w:rsid w:val="00347FB4"/>
    <w:rsid w:val="003808C5"/>
    <w:rsid w:val="00383AC5"/>
    <w:rsid w:val="0039455C"/>
    <w:rsid w:val="003A1B93"/>
    <w:rsid w:val="003E4015"/>
    <w:rsid w:val="003E665A"/>
    <w:rsid w:val="0043613F"/>
    <w:rsid w:val="00447BAF"/>
    <w:rsid w:val="004625DE"/>
    <w:rsid w:val="004B7CA6"/>
    <w:rsid w:val="004C39B5"/>
    <w:rsid w:val="004D3498"/>
    <w:rsid w:val="004F1980"/>
    <w:rsid w:val="00554F52"/>
    <w:rsid w:val="00573E42"/>
    <w:rsid w:val="005905B7"/>
    <w:rsid w:val="005953EC"/>
    <w:rsid w:val="005A1F75"/>
    <w:rsid w:val="005F58C3"/>
    <w:rsid w:val="006329DB"/>
    <w:rsid w:val="006617B6"/>
    <w:rsid w:val="0068027A"/>
    <w:rsid w:val="00692D01"/>
    <w:rsid w:val="00693978"/>
    <w:rsid w:val="00697B99"/>
    <w:rsid w:val="006A2509"/>
    <w:rsid w:val="006D172E"/>
    <w:rsid w:val="006D6B43"/>
    <w:rsid w:val="006E2585"/>
    <w:rsid w:val="006F2BAA"/>
    <w:rsid w:val="006F54F4"/>
    <w:rsid w:val="00701CBE"/>
    <w:rsid w:val="00712C5A"/>
    <w:rsid w:val="00722FE3"/>
    <w:rsid w:val="00737047"/>
    <w:rsid w:val="00757F85"/>
    <w:rsid w:val="007A0900"/>
    <w:rsid w:val="007A6438"/>
    <w:rsid w:val="007B499E"/>
    <w:rsid w:val="007C2B6B"/>
    <w:rsid w:val="007D5A74"/>
    <w:rsid w:val="007F50DF"/>
    <w:rsid w:val="00804A06"/>
    <w:rsid w:val="008068D1"/>
    <w:rsid w:val="00813983"/>
    <w:rsid w:val="0081414E"/>
    <w:rsid w:val="00820044"/>
    <w:rsid w:val="0085010D"/>
    <w:rsid w:val="008A2EF7"/>
    <w:rsid w:val="008B67AA"/>
    <w:rsid w:val="008C4279"/>
    <w:rsid w:val="008D20A7"/>
    <w:rsid w:val="009269C0"/>
    <w:rsid w:val="009600DA"/>
    <w:rsid w:val="009639BC"/>
    <w:rsid w:val="009B2630"/>
    <w:rsid w:val="00A16356"/>
    <w:rsid w:val="00A50516"/>
    <w:rsid w:val="00A77A58"/>
    <w:rsid w:val="00AA3AD3"/>
    <w:rsid w:val="00AB4412"/>
    <w:rsid w:val="00AD1D94"/>
    <w:rsid w:val="00AE2758"/>
    <w:rsid w:val="00AF33BF"/>
    <w:rsid w:val="00AF6E68"/>
    <w:rsid w:val="00B13589"/>
    <w:rsid w:val="00B62280"/>
    <w:rsid w:val="00B66D5C"/>
    <w:rsid w:val="00BC1C1A"/>
    <w:rsid w:val="00BD0924"/>
    <w:rsid w:val="00C11CA9"/>
    <w:rsid w:val="00C30648"/>
    <w:rsid w:val="00C30786"/>
    <w:rsid w:val="00C65B8A"/>
    <w:rsid w:val="00C940A0"/>
    <w:rsid w:val="00CB51C3"/>
    <w:rsid w:val="00CF274E"/>
    <w:rsid w:val="00D10D45"/>
    <w:rsid w:val="00D11DE7"/>
    <w:rsid w:val="00D3695B"/>
    <w:rsid w:val="00D84554"/>
    <w:rsid w:val="00D86FC7"/>
    <w:rsid w:val="00DB4C02"/>
    <w:rsid w:val="00E13647"/>
    <w:rsid w:val="00E269D7"/>
    <w:rsid w:val="00E3390F"/>
    <w:rsid w:val="00E539EE"/>
    <w:rsid w:val="00E5488B"/>
    <w:rsid w:val="00E84301"/>
    <w:rsid w:val="00EA37FC"/>
    <w:rsid w:val="00EA3D93"/>
    <w:rsid w:val="00EB4A7D"/>
    <w:rsid w:val="00ED3EEA"/>
    <w:rsid w:val="00F05401"/>
    <w:rsid w:val="00F230DD"/>
    <w:rsid w:val="00F2524E"/>
    <w:rsid w:val="00F67A26"/>
    <w:rsid w:val="00FC7F0F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0016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character" w:styleId="Hipervnculo">
    <w:name w:val="Hyperlink"/>
    <w:basedOn w:val="Fuentedeprrafopredeter"/>
    <w:uiPriority w:val="99"/>
    <w:unhideWhenUsed/>
    <w:rsid w:val="00701CBE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0081@lamolina.edu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7A14-AE1B-4A23-8955-5D31EB5C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Gretty Vilchez</dc:creator>
  <cp:keywords/>
  <dc:description/>
  <cp:lastModifiedBy>JEFFERSON</cp:lastModifiedBy>
  <cp:revision>12</cp:revision>
  <dcterms:created xsi:type="dcterms:W3CDTF">2020-10-01T17:10:00Z</dcterms:created>
  <dcterms:modified xsi:type="dcterms:W3CDTF">2021-10-09T03:44:00Z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